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FB" w:rsidRPr="000A02F1" w:rsidRDefault="00E728FB" w:rsidP="00E728FB">
      <w:pPr>
        <w:pStyle w:val="1"/>
        <w:spacing w:beforeLines="50" w:before="156" w:afterLines="50" w:after="156" w:line="900" w:lineRule="exact"/>
        <w:jc w:val="center"/>
        <w:rPr>
          <w:rFonts w:ascii="华文楷体" w:eastAsia="华文楷体" w:hAnsi="华文楷体"/>
          <w:color w:val="FF0000"/>
          <w:sz w:val="60"/>
          <w:szCs w:val="60"/>
        </w:rPr>
      </w:pPr>
      <w:r w:rsidRPr="000A02F1">
        <w:rPr>
          <w:rFonts w:ascii="华文楷体" w:eastAsia="华文楷体" w:hAnsi="华文楷体" w:hint="eastAsia"/>
          <w:color w:val="FF0000"/>
          <w:sz w:val="60"/>
          <w:szCs w:val="60"/>
        </w:rPr>
        <w:t>白山市12333电话咨询服务</w:t>
      </w:r>
    </w:p>
    <w:p w:rsidR="00E728FB" w:rsidRPr="000A02F1" w:rsidRDefault="00E728FB" w:rsidP="00E728FB">
      <w:pPr>
        <w:pStyle w:val="1"/>
        <w:spacing w:beforeLines="50" w:before="156" w:afterLines="50" w:after="156" w:line="900" w:lineRule="exact"/>
        <w:jc w:val="center"/>
        <w:rPr>
          <w:rFonts w:ascii="华文新魏" w:eastAsia="华文新魏" w:hAnsi="华文楷体"/>
          <w:color w:val="FF0000"/>
          <w:sz w:val="84"/>
          <w:szCs w:val="84"/>
        </w:rPr>
      </w:pPr>
      <w:r w:rsidRPr="000A02F1">
        <w:rPr>
          <w:rFonts w:ascii="华文新魏" w:eastAsia="华文新魏" w:hAnsi="华文楷体" w:hint="eastAsia"/>
          <w:color w:val="FF0000"/>
          <w:sz w:val="84"/>
          <w:szCs w:val="84"/>
        </w:rPr>
        <w:t>简</w:t>
      </w:r>
      <w:r>
        <w:rPr>
          <w:rFonts w:ascii="华文新魏" w:eastAsia="华文新魏" w:hAnsi="华文楷体" w:hint="eastAsia"/>
          <w:color w:val="FF0000"/>
          <w:sz w:val="84"/>
          <w:szCs w:val="84"/>
        </w:rPr>
        <w:t xml:space="preserve">   </w:t>
      </w:r>
      <w:r w:rsidRPr="000A02F1">
        <w:rPr>
          <w:rFonts w:ascii="华文新魏" w:eastAsia="华文新魏" w:hAnsi="华文楷体" w:hint="eastAsia"/>
          <w:color w:val="FF0000"/>
          <w:sz w:val="84"/>
          <w:szCs w:val="84"/>
        </w:rPr>
        <w:t>报</w:t>
      </w:r>
    </w:p>
    <w:p w:rsidR="00E728FB" w:rsidRDefault="00E728FB" w:rsidP="00E728FB">
      <w:pPr>
        <w:spacing w:beforeLines="50" w:before="156" w:afterLines="50" w:after="156"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0A02F1">
        <w:rPr>
          <w:rFonts w:ascii="黑体" w:eastAsia="黑体" w:hAnsi="黑体" w:hint="eastAsia"/>
          <w:b/>
          <w:sz w:val="44"/>
          <w:szCs w:val="44"/>
        </w:rPr>
        <w:t>第</w:t>
      </w:r>
      <w:r w:rsidR="00897D18">
        <w:rPr>
          <w:rFonts w:ascii="黑体" w:eastAsia="黑体" w:hAnsi="黑体" w:hint="eastAsia"/>
          <w:b/>
          <w:sz w:val="44"/>
          <w:szCs w:val="44"/>
        </w:rPr>
        <w:t>4</w:t>
      </w:r>
      <w:r w:rsidRPr="000A02F1">
        <w:rPr>
          <w:rFonts w:ascii="黑体" w:eastAsia="黑体" w:hAnsi="黑体" w:hint="eastAsia"/>
          <w:b/>
          <w:sz w:val="44"/>
          <w:szCs w:val="44"/>
        </w:rPr>
        <w:t>期</w:t>
      </w:r>
    </w:p>
    <w:p w:rsidR="00E728FB" w:rsidRPr="000A02F1" w:rsidRDefault="00E728FB" w:rsidP="00E728FB">
      <w:pPr>
        <w:spacing w:beforeLines="50" w:before="156" w:afterLines="50" w:after="156" w:line="6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396239</wp:posOffset>
                </wp:positionV>
                <wp:extent cx="5544185" cy="0"/>
                <wp:effectExtent l="0" t="0" r="1841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pt,31.2pt" to="427.5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p6+QEAACcEAAAOAAAAZHJzL2Uyb0RvYy54bWysU0uOEzEQ3SNxB8t70p2ZBI1a6cxiRmEz&#10;goiBAzjucmLhn2yT7lyCCyCxgxVL9tyG4RiU3R+Gj5BA9MJqu169qvdcXl12WpEj+CCtqel8VlIC&#10;httGmn1NX77YPLqgJERmGqasgZqeINDL9cMHq9ZVcGYPVjXgCZKYULWupocYXVUUgR9AszCzDgwG&#10;hfWaRdz6fdF41iK7VsVZWT4uWusb5y2HEPD0ug/SdeYXAnh8JkSASFRNsbeYV5/XXVqL9YpVe8/c&#10;QfKhDfYPXWgmDRadqK5ZZOS1l79Qacm9DVbEGbe6sEJIDlkDqpmXP6m5PTAHWQuaE9xkU/h/tPzp&#10;ceuJbGp6TolhGq/o7u2nL2/ef/38Dte7jx/IeTKpdaFC7JXZ+iSTd+bW3Vj+KmCs+CGYNsH1sE54&#10;neCok3TZ9NNkOnSRcDxcLheL+cWSEj7GClaNic6H+ASsJumnpkqa5Aer2PEmxFSaVSMkHStD2pqe&#10;LRdlmWHBKtlspFIpGPx+d6U8OTKchc2mxC8pQ4p7MNwpM0jqVWQ98aSgL/AcBNqFfc/7CmlQYaJl&#10;nIOJ84FXGUSnNIEtTIlDa39KHPApFfIQ/03ylJErWxOnZC2N9b9rO3Zjy6LHjw70upMFO9uctn68&#10;bZzG7NzwctK439/n9O/ve/0NAAD//wMAUEsDBBQABgAIAAAAIQCiF9L73gAAAAkBAAAPAAAAZHJz&#10;L2Rvd25yZXYueG1sTI/NTsMwEITvSLyDtUjcWicViaIQp0IgkODW0h/15sabOMJeR7HbhrfHiEM5&#10;zs5o9ptqOVnDzjj63pGAdJ4AQ2qc6qkTsPl8nRXAfJCkpHGEAr7Rw7K+valkqdyFVnheh47FEvKl&#10;FKBDGErOfaPRSj93A1L0WjdaGaIcO65GeYnl1vBFkuTcyp7iBy0HfNbYfK1PVsD7Drdqe/h4yZxR&#10;abt/y32rcyHu76anR2ABp3ANwy9+RIc6Mh3diZRnRsAsLeKWICBfPACLgSLLUmDHvwOvK/5/Qf0D&#10;AAD//wMAUEsBAi0AFAAGAAgAAAAhALaDOJL+AAAA4QEAABMAAAAAAAAAAAAAAAAAAAAAAFtDb250&#10;ZW50X1R5cGVzXS54bWxQSwECLQAUAAYACAAAACEAOP0h/9YAAACUAQAACwAAAAAAAAAAAAAAAAAv&#10;AQAAX3JlbHMvLnJlbHNQSwECLQAUAAYACAAAACEA9i8KevkBAAAnBAAADgAAAAAAAAAAAAAAAAAu&#10;AgAAZHJzL2Uyb0RvYy54bWxQSwECLQAUAAYACAAAACEAohfS+94AAAAJAQAADwAAAAAAAAAAAAAA&#10;AABTBAAAZHJzL2Rvd25yZXYueG1sUEsFBgAAAAAEAAQA8wAAAF4FAAAAAA==&#10;" strokecolor="red" strokeweight="2pt">
                <o:lock v:ext="edit" shapetype="f"/>
              </v:line>
            </w:pict>
          </mc:Fallback>
        </mc:AlternateContent>
      </w:r>
      <w:r w:rsidRPr="000A02F1">
        <w:rPr>
          <w:rFonts w:asciiTheme="minorEastAsia" w:hAnsiTheme="minorEastAsia" w:hint="eastAsia"/>
          <w:b/>
          <w:sz w:val="28"/>
          <w:szCs w:val="28"/>
        </w:rPr>
        <w:t>白山市人力资源和社会保障局信息管理中心</w:t>
      </w:r>
      <w:r>
        <w:rPr>
          <w:rFonts w:asciiTheme="minorEastAsia" w:hAnsiTheme="minorEastAsia" w:hint="eastAsia"/>
          <w:b/>
          <w:sz w:val="28"/>
          <w:szCs w:val="28"/>
        </w:rPr>
        <w:t xml:space="preserve">     2017年</w:t>
      </w:r>
      <w:r w:rsidR="00C4754A">
        <w:rPr>
          <w:rFonts w:asciiTheme="minorEastAsia" w:hAnsiTheme="minorEastAsia" w:hint="eastAsia"/>
          <w:b/>
          <w:sz w:val="28"/>
          <w:szCs w:val="28"/>
        </w:rPr>
        <w:t>8</w:t>
      </w:r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8D20A0">
        <w:rPr>
          <w:rFonts w:asciiTheme="minorEastAsia" w:hAnsiTheme="minorEastAsia" w:hint="eastAsia"/>
          <w:b/>
          <w:sz w:val="28"/>
          <w:szCs w:val="28"/>
        </w:rPr>
        <w:t>31</w:t>
      </w:r>
      <w:r>
        <w:rPr>
          <w:rFonts w:asciiTheme="minorEastAsia" w:hAnsiTheme="minorEastAsia" w:hint="eastAsia"/>
          <w:b/>
          <w:sz w:val="28"/>
          <w:szCs w:val="28"/>
        </w:rPr>
        <w:t>日</w:t>
      </w:r>
    </w:p>
    <w:p w:rsidR="00E728FB" w:rsidRPr="00A5738B" w:rsidRDefault="00E728FB" w:rsidP="00D00E2B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A5738B">
        <w:rPr>
          <w:rFonts w:ascii="仿宋" w:eastAsia="仿宋" w:hAnsi="仿宋" w:hint="eastAsia"/>
          <w:color w:val="333333"/>
          <w:sz w:val="32"/>
          <w:szCs w:val="32"/>
        </w:rPr>
        <w:t>一、业务分析</w:t>
      </w:r>
    </w:p>
    <w:p w:rsidR="006B6EA0" w:rsidRPr="00A5738B" w:rsidRDefault="005C265D" w:rsidP="00D00E2B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A5738B">
        <w:rPr>
          <w:rFonts w:ascii="仿宋" w:eastAsia="仿宋" w:hAnsi="仿宋" w:hint="eastAsia"/>
          <w:color w:val="333333"/>
          <w:sz w:val="32"/>
          <w:szCs w:val="32"/>
        </w:rPr>
        <w:t>1、</w:t>
      </w:r>
      <w:r w:rsidR="006B6EA0" w:rsidRPr="00A5738B">
        <w:rPr>
          <w:rFonts w:ascii="仿宋" w:eastAsia="仿宋" w:hAnsi="仿宋" w:hint="eastAsia"/>
          <w:color w:val="333333"/>
          <w:sz w:val="32"/>
          <w:szCs w:val="32"/>
        </w:rPr>
        <w:t>电话统计</w:t>
      </w:r>
    </w:p>
    <w:p w:rsidR="006B6EA0" w:rsidRPr="00A5738B" w:rsidRDefault="00C4754A" w:rsidP="00A5738B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A5738B">
        <w:rPr>
          <w:rFonts w:ascii="仿宋" w:eastAsia="仿宋" w:hAnsi="仿宋" w:hint="eastAsia"/>
          <w:color w:val="333333"/>
          <w:sz w:val="32"/>
          <w:szCs w:val="32"/>
        </w:rPr>
        <w:t>7.21-8.21</w:t>
      </w:r>
      <w:r w:rsidR="00E728FB" w:rsidRPr="00A5738B">
        <w:rPr>
          <w:rFonts w:ascii="仿宋" w:eastAsia="仿宋" w:hAnsi="仿宋" w:hint="eastAsia"/>
          <w:color w:val="333333"/>
          <w:sz w:val="32"/>
          <w:szCs w:val="32"/>
        </w:rPr>
        <w:t>日期间，呼入电话</w:t>
      </w:r>
      <w:r w:rsidR="00FC7C0E" w:rsidRPr="00A5738B">
        <w:rPr>
          <w:rFonts w:ascii="仿宋" w:eastAsia="仿宋" w:hAnsi="仿宋" w:hint="eastAsia"/>
          <w:color w:val="333333"/>
          <w:sz w:val="32"/>
          <w:szCs w:val="32"/>
        </w:rPr>
        <w:t>量</w:t>
      </w:r>
      <w:r w:rsidR="00E728FB" w:rsidRPr="00A5738B">
        <w:rPr>
          <w:rFonts w:ascii="仿宋" w:eastAsia="仿宋" w:hAnsi="仿宋" w:hint="eastAsia"/>
          <w:color w:val="333333"/>
          <w:sz w:val="32"/>
          <w:szCs w:val="32"/>
        </w:rPr>
        <w:t>总数</w:t>
      </w:r>
      <w:r w:rsidRPr="00A5738B">
        <w:rPr>
          <w:rFonts w:ascii="仿宋" w:eastAsia="仿宋" w:hAnsi="仿宋" w:hint="eastAsia"/>
          <w:color w:val="333333"/>
          <w:sz w:val="32"/>
          <w:szCs w:val="32"/>
        </w:rPr>
        <w:t>1393</w:t>
      </w:r>
      <w:r w:rsidR="00E728FB" w:rsidRPr="00A5738B">
        <w:rPr>
          <w:rFonts w:ascii="仿宋" w:eastAsia="仿宋" w:hAnsi="仿宋" w:hint="eastAsia"/>
          <w:color w:val="333333"/>
          <w:sz w:val="32"/>
          <w:szCs w:val="32"/>
        </w:rPr>
        <w:t>个，</w:t>
      </w:r>
      <w:r w:rsidR="00EF381F" w:rsidRPr="00A5738B">
        <w:rPr>
          <w:rFonts w:ascii="仿宋" w:eastAsia="仿宋" w:hAnsi="仿宋" w:hint="eastAsia"/>
          <w:color w:val="333333"/>
          <w:sz w:val="32"/>
          <w:szCs w:val="32"/>
        </w:rPr>
        <w:t>近期因社会保障卡的大量发放</w:t>
      </w:r>
      <w:r w:rsidR="003C4648" w:rsidRPr="00A5738B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D25AD5" w:rsidRPr="00A5738B">
        <w:rPr>
          <w:rFonts w:ascii="仿宋" w:eastAsia="仿宋" w:hAnsi="仿宋" w:hint="eastAsia"/>
          <w:color w:val="333333"/>
          <w:sz w:val="32"/>
          <w:szCs w:val="32"/>
        </w:rPr>
        <w:t>群众</w:t>
      </w:r>
      <w:r w:rsidR="006B6EA0" w:rsidRPr="00A5738B">
        <w:rPr>
          <w:rFonts w:ascii="仿宋" w:eastAsia="仿宋" w:hAnsi="仿宋" w:hint="eastAsia"/>
          <w:color w:val="333333"/>
          <w:sz w:val="32"/>
          <w:szCs w:val="32"/>
        </w:rPr>
        <w:t>咨询</w:t>
      </w:r>
      <w:r w:rsidR="00D25AD5" w:rsidRPr="00A5738B">
        <w:rPr>
          <w:rFonts w:ascii="仿宋" w:eastAsia="仿宋" w:hAnsi="仿宋" w:hint="eastAsia"/>
          <w:color w:val="333333"/>
          <w:sz w:val="32"/>
          <w:szCs w:val="32"/>
        </w:rPr>
        <w:t>问题</w:t>
      </w:r>
      <w:r w:rsidR="006B6EA0" w:rsidRPr="00A5738B">
        <w:rPr>
          <w:rFonts w:ascii="仿宋" w:eastAsia="仿宋" w:hAnsi="仿宋" w:hint="eastAsia"/>
          <w:color w:val="333333"/>
          <w:sz w:val="32"/>
          <w:szCs w:val="32"/>
        </w:rPr>
        <w:t>主要集中在</w:t>
      </w:r>
      <w:r w:rsidR="00EF381F" w:rsidRPr="00A5738B">
        <w:rPr>
          <w:rFonts w:ascii="仿宋" w:eastAsia="仿宋" w:hAnsi="仿宋" w:hint="eastAsia"/>
          <w:color w:val="333333"/>
          <w:sz w:val="32"/>
          <w:szCs w:val="32"/>
        </w:rPr>
        <w:t>社会保障卡的申领、激活及进度查询。</w:t>
      </w:r>
      <w:r w:rsidR="00D25AD5" w:rsidRPr="00A5738B">
        <w:rPr>
          <w:rFonts w:ascii="仿宋" w:eastAsia="仿宋" w:hAnsi="仿宋" w:hint="eastAsia"/>
          <w:color w:val="333333"/>
          <w:sz w:val="32"/>
          <w:szCs w:val="32"/>
        </w:rPr>
        <w:t>在制卡期间，有部分群众信息审核不通过导致制卡失败，12333及时处理有关问题来电，告知群众如何办理，给予解决</w:t>
      </w:r>
      <w:r w:rsidR="00B40898">
        <w:rPr>
          <w:rFonts w:ascii="仿宋" w:eastAsia="仿宋" w:hAnsi="仿宋" w:hint="eastAsia"/>
          <w:color w:val="333333"/>
          <w:sz w:val="32"/>
          <w:szCs w:val="32"/>
        </w:rPr>
        <w:t>。</w:t>
      </w:r>
      <w:bookmarkStart w:id="0" w:name="_GoBack"/>
      <w:bookmarkEnd w:id="0"/>
    </w:p>
    <w:p w:rsidR="00412EE2" w:rsidRPr="00A5738B" w:rsidRDefault="006B6EA0" w:rsidP="00D00E2B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A5738B">
        <w:rPr>
          <w:rFonts w:ascii="仿宋" w:eastAsia="仿宋" w:hAnsi="仿宋" w:hint="eastAsia"/>
          <w:color w:val="333333"/>
          <w:sz w:val="32"/>
          <w:szCs w:val="32"/>
        </w:rPr>
        <w:t>其中还有放弃量</w:t>
      </w:r>
      <w:r w:rsidR="00C4754A" w:rsidRPr="00A5738B">
        <w:rPr>
          <w:rFonts w:ascii="仿宋" w:eastAsia="仿宋" w:hAnsi="仿宋" w:hint="eastAsia"/>
          <w:color w:val="333333"/>
          <w:sz w:val="32"/>
          <w:szCs w:val="32"/>
        </w:rPr>
        <w:t>20</w:t>
      </w:r>
      <w:r w:rsidRPr="00A5738B">
        <w:rPr>
          <w:rFonts w:ascii="仿宋" w:eastAsia="仿宋" w:hAnsi="仿宋" w:hint="eastAsia"/>
          <w:color w:val="333333"/>
          <w:sz w:val="32"/>
          <w:szCs w:val="32"/>
        </w:rPr>
        <w:t>个，</w:t>
      </w:r>
      <w:r w:rsidR="009A752A" w:rsidRPr="00A5738B">
        <w:rPr>
          <w:rFonts w:ascii="仿宋" w:eastAsia="仿宋" w:hAnsi="仿宋" w:hint="eastAsia"/>
          <w:color w:val="333333"/>
          <w:sz w:val="32"/>
          <w:szCs w:val="32"/>
        </w:rPr>
        <w:t>存在</w:t>
      </w:r>
      <w:r w:rsidR="00095751" w:rsidRPr="00A5738B">
        <w:rPr>
          <w:rFonts w:ascii="仿宋" w:eastAsia="仿宋" w:hAnsi="仿宋" w:hint="eastAsia"/>
          <w:color w:val="333333"/>
          <w:sz w:val="32"/>
          <w:szCs w:val="32"/>
        </w:rPr>
        <w:t>放弃量</w:t>
      </w:r>
      <w:r w:rsidR="009A752A" w:rsidRPr="00A5738B">
        <w:rPr>
          <w:rFonts w:ascii="仿宋" w:eastAsia="仿宋" w:hAnsi="仿宋" w:hint="eastAsia"/>
          <w:color w:val="333333"/>
          <w:sz w:val="32"/>
          <w:szCs w:val="32"/>
        </w:rPr>
        <w:t>的原因</w:t>
      </w:r>
      <w:r w:rsidR="00095751" w:rsidRPr="00A5738B">
        <w:rPr>
          <w:rFonts w:ascii="仿宋" w:eastAsia="仿宋" w:hAnsi="仿宋" w:hint="eastAsia"/>
          <w:color w:val="333333"/>
          <w:sz w:val="32"/>
          <w:szCs w:val="32"/>
        </w:rPr>
        <w:t>是咨询者拨打电话时人工坐席忙碌</w:t>
      </w:r>
      <w:r w:rsidR="003C4648" w:rsidRPr="00A5738B">
        <w:rPr>
          <w:rFonts w:ascii="仿宋" w:eastAsia="仿宋" w:hAnsi="仿宋" w:hint="eastAsia"/>
          <w:color w:val="333333"/>
          <w:sz w:val="32"/>
          <w:szCs w:val="32"/>
        </w:rPr>
        <w:t>没有进行电话等待</w:t>
      </w:r>
      <w:r w:rsidR="00412EE2" w:rsidRPr="00A5738B">
        <w:rPr>
          <w:rFonts w:ascii="仿宋" w:eastAsia="仿宋" w:hAnsi="仿宋" w:hint="eastAsia"/>
          <w:color w:val="333333"/>
          <w:sz w:val="32"/>
          <w:szCs w:val="32"/>
        </w:rPr>
        <w:t>而</w:t>
      </w:r>
      <w:r w:rsidR="003B30C2" w:rsidRPr="00A5738B">
        <w:rPr>
          <w:rFonts w:ascii="仿宋" w:eastAsia="仿宋" w:hAnsi="仿宋" w:hint="eastAsia"/>
          <w:color w:val="333333"/>
          <w:sz w:val="32"/>
          <w:szCs w:val="32"/>
        </w:rPr>
        <w:t>主</w:t>
      </w:r>
      <w:r w:rsidR="00095751" w:rsidRPr="00A5738B">
        <w:rPr>
          <w:rFonts w:ascii="仿宋" w:eastAsia="仿宋" w:hAnsi="仿宋" w:hint="eastAsia"/>
          <w:color w:val="333333"/>
          <w:sz w:val="32"/>
          <w:szCs w:val="32"/>
        </w:rPr>
        <w:t>动挂断电话</w:t>
      </w:r>
      <w:r w:rsidR="00412EE2" w:rsidRPr="00A5738B">
        <w:rPr>
          <w:rFonts w:ascii="仿宋" w:eastAsia="仿宋" w:hAnsi="仿宋" w:hint="eastAsia"/>
          <w:color w:val="333333"/>
          <w:sz w:val="32"/>
          <w:szCs w:val="32"/>
        </w:rPr>
        <w:t>，或者呼入</w:t>
      </w:r>
      <w:r w:rsidR="00095751" w:rsidRPr="00A5738B">
        <w:rPr>
          <w:rFonts w:ascii="仿宋" w:eastAsia="仿宋" w:hAnsi="仿宋" w:hint="eastAsia"/>
          <w:color w:val="333333"/>
          <w:sz w:val="32"/>
          <w:szCs w:val="32"/>
        </w:rPr>
        <w:t>后由于某种原因没有接起</w:t>
      </w:r>
      <w:r w:rsidR="00412EE2" w:rsidRPr="00A5738B">
        <w:rPr>
          <w:rFonts w:ascii="仿宋" w:eastAsia="仿宋" w:hAnsi="仿宋" w:hint="eastAsia"/>
          <w:color w:val="333333"/>
          <w:sz w:val="32"/>
          <w:szCs w:val="32"/>
        </w:rPr>
        <w:t>电话</w:t>
      </w:r>
      <w:r w:rsidR="00095751" w:rsidRPr="00A5738B">
        <w:rPr>
          <w:rFonts w:ascii="仿宋" w:eastAsia="仿宋" w:hAnsi="仿宋" w:hint="eastAsia"/>
          <w:color w:val="333333"/>
          <w:sz w:val="32"/>
          <w:szCs w:val="32"/>
        </w:rPr>
        <w:t>的话务量统计。为</w:t>
      </w:r>
      <w:r w:rsidR="00412EE2" w:rsidRPr="00A5738B">
        <w:rPr>
          <w:rFonts w:ascii="仿宋" w:eastAsia="仿宋" w:hAnsi="仿宋" w:hint="eastAsia"/>
          <w:color w:val="333333"/>
          <w:sz w:val="32"/>
          <w:szCs w:val="32"/>
        </w:rPr>
        <w:t>减少放弃量，在解答时，尽量语言精练，减少通话时间，避免呼叫等待的情况。</w:t>
      </w:r>
    </w:p>
    <w:p w:rsidR="00517F7C" w:rsidRPr="00A5738B" w:rsidRDefault="005C265D" w:rsidP="00D00E2B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A5738B">
        <w:rPr>
          <w:rFonts w:ascii="仿宋" w:eastAsia="仿宋" w:hAnsi="仿宋" w:hint="eastAsia"/>
          <w:color w:val="333333"/>
          <w:sz w:val="32"/>
          <w:szCs w:val="32"/>
        </w:rPr>
        <w:t>2、</w:t>
      </w:r>
      <w:r w:rsidR="00517F7C" w:rsidRPr="00A5738B">
        <w:rPr>
          <w:rFonts w:ascii="仿宋" w:eastAsia="仿宋" w:hAnsi="仿宋" w:hint="eastAsia"/>
          <w:color w:val="333333"/>
          <w:sz w:val="32"/>
          <w:szCs w:val="32"/>
        </w:rPr>
        <w:t>网站咨询统计</w:t>
      </w:r>
    </w:p>
    <w:p w:rsidR="003B30C2" w:rsidRPr="00A5738B" w:rsidRDefault="00517F7C" w:rsidP="00A5738B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A5738B">
        <w:rPr>
          <w:rFonts w:ascii="仿宋" w:eastAsia="仿宋" w:hAnsi="仿宋" w:hint="eastAsia"/>
          <w:color w:val="333333"/>
          <w:sz w:val="32"/>
          <w:szCs w:val="32"/>
        </w:rPr>
        <w:t>在</w:t>
      </w:r>
      <w:r w:rsidR="00C4754A" w:rsidRPr="00A5738B">
        <w:rPr>
          <w:rFonts w:ascii="仿宋" w:eastAsia="仿宋" w:hAnsi="仿宋" w:hint="eastAsia"/>
          <w:color w:val="333333"/>
          <w:sz w:val="32"/>
          <w:szCs w:val="32"/>
        </w:rPr>
        <w:t>7.21-8.21</w:t>
      </w:r>
      <w:r w:rsidRPr="00A5738B">
        <w:rPr>
          <w:rFonts w:ascii="仿宋" w:eastAsia="仿宋" w:hAnsi="仿宋" w:hint="eastAsia"/>
          <w:color w:val="333333"/>
          <w:sz w:val="32"/>
          <w:szCs w:val="32"/>
        </w:rPr>
        <w:t>期间，</w:t>
      </w:r>
      <w:r w:rsidR="009A752A" w:rsidRPr="00A5738B">
        <w:rPr>
          <w:rFonts w:ascii="仿宋" w:eastAsia="仿宋" w:hAnsi="仿宋" w:hint="eastAsia"/>
          <w:color w:val="333333"/>
          <w:sz w:val="32"/>
          <w:szCs w:val="32"/>
        </w:rPr>
        <w:t>12333网上咨询</w:t>
      </w:r>
      <w:r w:rsidRPr="00A5738B">
        <w:rPr>
          <w:rFonts w:ascii="仿宋" w:eastAsia="仿宋" w:hAnsi="仿宋" w:hint="eastAsia"/>
          <w:color w:val="333333"/>
          <w:sz w:val="32"/>
          <w:szCs w:val="32"/>
        </w:rPr>
        <w:t>共收到了</w:t>
      </w:r>
      <w:r w:rsidR="00C4754A" w:rsidRPr="00A5738B">
        <w:rPr>
          <w:rFonts w:ascii="仿宋" w:eastAsia="仿宋" w:hAnsi="仿宋" w:hint="eastAsia"/>
          <w:color w:val="333333"/>
          <w:sz w:val="32"/>
          <w:szCs w:val="32"/>
        </w:rPr>
        <w:t>26</w:t>
      </w:r>
      <w:r w:rsidRPr="00A5738B">
        <w:rPr>
          <w:rFonts w:ascii="仿宋" w:eastAsia="仿宋" w:hAnsi="仿宋" w:hint="eastAsia"/>
          <w:color w:val="333333"/>
          <w:sz w:val="32"/>
          <w:szCs w:val="32"/>
        </w:rPr>
        <w:t>条网站留言咨询，</w:t>
      </w:r>
      <w:r w:rsidR="003B30C2" w:rsidRPr="00A5738B">
        <w:rPr>
          <w:rFonts w:ascii="仿宋" w:eastAsia="仿宋" w:hAnsi="仿宋" w:hint="eastAsia"/>
          <w:color w:val="333333"/>
          <w:sz w:val="32"/>
          <w:szCs w:val="32"/>
        </w:rPr>
        <w:t>留言的类别包括：专业技术人员管理</w:t>
      </w:r>
      <w:r w:rsidR="00EF381F" w:rsidRPr="00A5738B">
        <w:rPr>
          <w:rFonts w:ascii="仿宋" w:eastAsia="仿宋" w:hAnsi="仿宋" w:hint="eastAsia"/>
          <w:color w:val="333333"/>
          <w:sz w:val="32"/>
          <w:szCs w:val="32"/>
        </w:rPr>
        <w:t>42</w:t>
      </w:r>
      <w:r w:rsidR="003B30C2" w:rsidRPr="00A5738B">
        <w:rPr>
          <w:rFonts w:ascii="仿宋" w:eastAsia="仿宋" w:hAnsi="仿宋" w:hint="eastAsia"/>
          <w:color w:val="333333"/>
          <w:sz w:val="32"/>
          <w:szCs w:val="32"/>
        </w:rPr>
        <w:t>%</w:t>
      </w:r>
      <w:r w:rsidR="00C4754A" w:rsidRPr="00A5738B">
        <w:rPr>
          <w:rFonts w:ascii="仿宋" w:eastAsia="仿宋" w:hAnsi="仿宋" w:hint="eastAsia"/>
          <w:color w:val="333333"/>
          <w:sz w:val="32"/>
          <w:szCs w:val="32"/>
        </w:rPr>
        <w:t>，医疗保险</w:t>
      </w:r>
      <w:r w:rsidR="00EF381F" w:rsidRPr="00A5738B">
        <w:rPr>
          <w:rFonts w:ascii="仿宋" w:eastAsia="仿宋" w:hAnsi="仿宋" w:hint="eastAsia"/>
          <w:color w:val="333333"/>
          <w:sz w:val="32"/>
          <w:szCs w:val="32"/>
        </w:rPr>
        <w:t>15</w:t>
      </w:r>
      <w:r w:rsidR="003B30C2" w:rsidRPr="00A5738B">
        <w:rPr>
          <w:rFonts w:ascii="仿宋" w:eastAsia="仿宋" w:hAnsi="仿宋" w:hint="eastAsia"/>
          <w:color w:val="333333"/>
          <w:sz w:val="32"/>
          <w:szCs w:val="32"/>
        </w:rPr>
        <w:t>%，</w:t>
      </w:r>
      <w:r w:rsidR="00EF381F" w:rsidRPr="00A5738B">
        <w:rPr>
          <w:rFonts w:ascii="仿宋" w:eastAsia="仿宋" w:hAnsi="仿宋" w:hint="eastAsia"/>
          <w:color w:val="333333"/>
          <w:sz w:val="32"/>
          <w:szCs w:val="32"/>
        </w:rPr>
        <w:t>人力资源市场与就业8%，</w:t>
      </w:r>
      <w:r w:rsidR="003B30C2" w:rsidRPr="00A5738B">
        <w:rPr>
          <w:rFonts w:ascii="仿宋" w:eastAsia="仿宋" w:hAnsi="仿宋" w:hint="eastAsia"/>
          <w:color w:val="333333"/>
          <w:sz w:val="32"/>
          <w:szCs w:val="32"/>
        </w:rPr>
        <w:t>养老保险</w:t>
      </w:r>
      <w:r w:rsidR="00EF381F" w:rsidRPr="00A5738B">
        <w:rPr>
          <w:rFonts w:ascii="仿宋" w:eastAsia="仿宋" w:hAnsi="仿宋" w:hint="eastAsia"/>
          <w:color w:val="333333"/>
          <w:sz w:val="32"/>
          <w:szCs w:val="32"/>
        </w:rPr>
        <w:t>35</w:t>
      </w:r>
      <w:r w:rsidR="003B30C2" w:rsidRPr="00A5738B">
        <w:rPr>
          <w:rFonts w:ascii="仿宋" w:eastAsia="仿宋" w:hAnsi="仿宋" w:hint="eastAsia"/>
          <w:color w:val="333333"/>
          <w:sz w:val="32"/>
          <w:szCs w:val="32"/>
        </w:rPr>
        <w:t>%，对于这</w:t>
      </w:r>
      <w:r w:rsidR="003B30C2" w:rsidRPr="00A5738B">
        <w:rPr>
          <w:rFonts w:ascii="仿宋" w:eastAsia="仿宋" w:hAnsi="仿宋" w:hint="eastAsia"/>
          <w:color w:val="333333"/>
          <w:sz w:val="32"/>
          <w:szCs w:val="32"/>
        </w:rPr>
        <w:lastRenderedPageBreak/>
        <w:t>些问题我们及时做出了回复。</w:t>
      </w:r>
    </w:p>
    <w:p w:rsidR="00067D0F" w:rsidRPr="00A5738B" w:rsidRDefault="00C42F03" w:rsidP="00D00E2B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A5738B">
        <w:rPr>
          <w:rFonts w:ascii="仿宋" w:eastAsia="仿宋" w:hAnsi="仿宋" w:hint="eastAsia"/>
          <w:color w:val="333333"/>
          <w:sz w:val="32"/>
          <w:szCs w:val="32"/>
        </w:rPr>
        <w:t>二、热点问题</w:t>
      </w:r>
    </w:p>
    <w:p w:rsidR="00722A9C" w:rsidRDefault="007A2A65" w:rsidP="00D00E2B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B2BBA">
        <w:rPr>
          <w:rFonts w:ascii="仿宋" w:eastAsia="仿宋" w:hAnsi="仿宋" w:hint="eastAsia"/>
          <w:color w:val="333333"/>
          <w:sz w:val="32"/>
          <w:szCs w:val="32"/>
        </w:rPr>
        <w:t>问题</w:t>
      </w:r>
      <w:proofErr w:type="gramStart"/>
      <w:r w:rsidRPr="005B2BBA">
        <w:rPr>
          <w:rFonts w:ascii="仿宋" w:eastAsia="仿宋" w:hAnsi="仿宋" w:hint="eastAsia"/>
          <w:color w:val="333333"/>
          <w:sz w:val="32"/>
          <w:szCs w:val="32"/>
        </w:rPr>
        <w:t>一</w:t>
      </w:r>
      <w:proofErr w:type="gramEnd"/>
      <w:r w:rsidRPr="005B2BBA">
        <w:rPr>
          <w:rFonts w:ascii="仿宋" w:eastAsia="仿宋" w:hAnsi="仿宋" w:hint="eastAsia"/>
          <w:color w:val="333333"/>
          <w:sz w:val="32"/>
          <w:szCs w:val="32"/>
        </w:rPr>
        <w:t>：</w:t>
      </w:r>
      <w:r w:rsidR="00722A9C">
        <w:rPr>
          <w:rFonts w:ascii="仿宋" w:eastAsia="仿宋" w:hAnsi="仿宋"/>
          <w:color w:val="333333"/>
          <w:sz w:val="32"/>
          <w:szCs w:val="32"/>
        </w:rPr>
        <w:t>加载金融功能</w:t>
      </w:r>
      <w:r w:rsidR="00722A9C" w:rsidRPr="000673BB">
        <w:rPr>
          <w:rFonts w:ascii="仿宋" w:eastAsia="仿宋" w:hAnsi="仿宋"/>
          <w:color w:val="333333"/>
          <w:sz w:val="32"/>
          <w:szCs w:val="32"/>
        </w:rPr>
        <w:t>社会保障卡与原</w:t>
      </w:r>
      <w:proofErr w:type="gramStart"/>
      <w:r w:rsidR="00722A9C" w:rsidRPr="000673BB">
        <w:rPr>
          <w:rFonts w:ascii="仿宋" w:eastAsia="仿宋" w:hAnsi="仿宋"/>
          <w:color w:val="333333"/>
          <w:sz w:val="32"/>
          <w:szCs w:val="32"/>
        </w:rPr>
        <w:t>医</w:t>
      </w:r>
      <w:proofErr w:type="gramEnd"/>
      <w:r w:rsidR="00722A9C" w:rsidRPr="000673BB">
        <w:rPr>
          <w:rFonts w:ascii="仿宋" w:eastAsia="仿宋" w:hAnsi="仿宋"/>
          <w:color w:val="333333"/>
          <w:sz w:val="32"/>
          <w:szCs w:val="32"/>
        </w:rPr>
        <w:t>保</w:t>
      </w:r>
      <w:r w:rsidR="00722A9C" w:rsidRPr="000673BB">
        <w:rPr>
          <w:rFonts w:ascii="仿宋" w:eastAsia="仿宋" w:hAnsi="仿宋" w:hint="eastAsia"/>
          <w:color w:val="333333"/>
          <w:sz w:val="32"/>
          <w:szCs w:val="32"/>
        </w:rPr>
        <w:t>凭证</w:t>
      </w:r>
      <w:r w:rsidR="00722A9C">
        <w:rPr>
          <w:rFonts w:ascii="仿宋" w:eastAsia="仿宋" w:hAnsi="仿宋" w:hint="eastAsia"/>
          <w:color w:val="333333"/>
          <w:sz w:val="32"/>
          <w:szCs w:val="32"/>
        </w:rPr>
        <w:t>有何重要区别？</w:t>
      </w:r>
    </w:p>
    <w:p w:rsidR="007A2A65" w:rsidRPr="000673BB" w:rsidRDefault="007A2A65" w:rsidP="007A2A65">
      <w:pPr>
        <w:pStyle w:val="a8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0673BB">
        <w:rPr>
          <w:rFonts w:ascii="仿宋" w:eastAsia="仿宋" w:hAnsi="仿宋"/>
          <w:color w:val="333333"/>
          <w:sz w:val="32"/>
          <w:szCs w:val="32"/>
        </w:rPr>
        <w:t>一、</w:t>
      </w:r>
      <w:r>
        <w:rPr>
          <w:rFonts w:ascii="仿宋" w:eastAsia="仿宋" w:hAnsi="仿宋"/>
          <w:color w:val="333333"/>
          <w:sz w:val="32"/>
          <w:szCs w:val="32"/>
        </w:rPr>
        <w:t>加载金融功能</w:t>
      </w:r>
      <w:proofErr w:type="gramStart"/>
      <w:r w:rsidRPr="000673BB">
        <w:rPr>
          <w:rFonts w:ascii="仿宋" w:eastAsia="仿宋" w:hAnsi="仿宋"/>
          <w:color w:val="333333"/>
          <w:sz w:val="32"/>
          <w:szCs w:val="32"/>
        </w:rPr>
        <w:t>社会保障卡更安全</w:t>
      </w:r>
      <w:proofErr w:type="gramEnd"/>
      <w:r w:rsidRPr="000673BB">
        <w:rPr>
          <w:rFonts w:ascii="仿宋" w:eastAsia="仿宋" w:hAnsi="仿宋"/>
          <w:color w:val="333333"/>
          <w:sz w:val="32"/>
          <w:szCs w:val="32"/>
        </w:rPr>
        <w:t>。金融应用和社保应用系统相互独立，使用金融账户时输入金融账户密码，使用社保应用时输入社保账户密码。</w:t>
      </w:r>
    </w:p>
    <w:p w:rsidR="007A2A65" w:rsidRPr="000673BB" w:rsidRDefault="007A2A65" w:rsidP="007A2A65">
      <w:pPr>
        <w:pStyle w:val="a8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0673BB">
        <w:rPr>
          <w:rFonts w:ascii="仿宋" w:eastAsia="仿宋" w:hAnsi="仿宋"/>
          <w:color w:val="333333"/>
          <w:sz w:val="32"/>
          <w:szCs w:val="32"/>
        </w:rPr>
        <w:t>二、更便捷。社会保障、银行金融等功能结合在一起，在就医结算、缴费、待遇领取及现金存取、转账支付、个人理财等各方面将更为方便快捷。</w:t>
      </w:r>
    </w:p>
    <w:p w:rsidR="007A2A65" w:rsidRPr="000673BB" w:rsidRDefault="007A2A65" w:rsidP="007A2A65">
      <w:pPr>
        <w:pStyle w:val="a8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0673BB">
        <w:rPr>
          <w:rFonts w:ascii="仿宋" w:eastAsia="仿宋" w:hAnsi="仿宋"/>
          <w:color w:val="333333"/>
          <w:sz w:val="32"/>
          <w:szCs w:val="32"/>
        </w:rPr>
        <w:t>三、</w:t>
      </w:r>
      <w:r>
        <w:rPr>
          <w:rFonts w:ascii="仿宋" w:eastAsia="仿宋" w:hAnsi="仿宋"/>
          <w:color w:val="333333"/>
          <w:sz w:val="32"/>
          <w:szCs w:val="32"/>
        </w:rPr>
        <w:t>加载金融功能</w:t>
      </w:r>
      <w:r w:rsidRPr="000673BB">
        <w:rPr>
          <w:rFonts w:ascii="仿宋" w:eastAsia="仿宋" w:hAnsi="仿宋"/>
          <w:color w:val="333333"/>
          <w:sz w:val="32"/>
          <w:szCs w:val="32"/>
        </w:rPr>
        <w:t>社会保障卡面印有合作银行的标识和银联的标识，并印有发行单位“吉林省人力资源和社会保障厅”字样。</w:t>
      </w:r>
    </w:p>
    <w:p w:rsidR="007A2A65" w:rsidRPr="007A2A65" w:rsidRDefault="007A2A65" w:rsidP="007A2A65">
      <w:pPr>
        <w:pStyle w:val="a8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FC4739">
        <w:rPr>
          <w:rFonts w:ascii="仿宋" w:eastAsia="仿宋" w:hAnsi="仿宋" w:hint="eastAsia"/>
          <w:color w:val="333333"/>
          <w:sz w:val="32"/>
          <w:szCs w:val="32"/>
        </w:rPr>
        <w:t>问题二：</w:t>
      </w:r>
      <w:r w:rsidRPr="007A2A65">
        <w:rPr>
          <w:rFonts w:ascii="仿宋" w:eastAsia="仿宋" w:hAnsi="仿宋" w:hint="eastAsia"/>
          <w:color w:val="333333"/>
          <w:sz w:val="32"/>
          <w:szCs w:val="32"/>
        </w:rPr>
        <w:t>加载金融功能</w:t>
      </w:r>
      <w:r w:rsidRPr="007A2A65">
        <w:rPr>
          <w:rFonts w:ascii="仿宋" w:eastAsia="仿宋" w:hAnsi="仿宋"/>
          <w:color w:val="333333"/>
          <w:sz w:val="32"/>
          <w:szCs w:val="32"/>
        </w:rPr>
        <w:t>社会保障</w:t>
      </w:r>
      <w:proofErr w:type="gramStart"/>
      <w:r w:rsidRPr="007A2A65">
        <w:rPr>
          <w:rFonts w:ascii="仿宋" w:eastAsia="仿宋" w:hAnsi="仿宋"/>
          <w:color w:val="333333"/>
          <w:sz w:val="32"/>
          <w:szCs w:val="32"/>
        </w:rPr>
        <w:t>卡</w:t>
      </w:r>
      <w:r w:rsidRPr="007A2A65">
        <w:rPr>
          <w:rFonts w:ascii="仿宋" w:eastAsia="仿宋" w:hAnsi="仿宋" w:hint="eastAsia"/>
          <w:color w:val="333333"/>
          <w:sz w:val="32"/>
          <w:szCs w:val="32"/>
        </w:rPr>
        <w:t>如何</w:t>
      </w:r>
      <w:proofErr w:type="gramEnd"/>
      <w:r w:rsidRPr="007A2A65">
        <w:rPr>
          <w:rFonts w:ascii="仿宋" w:eastAsia="仿宋" w:hAnsi="仿宋"/>
          <w:color w:val="333333"/>
          <w:sz w:val="32"/>
          <w:szCs w:val="32"/>
        </w:rPr>
        <w:t>申</w:t>
      </w:r>
      <w:r w:rsidRPr="007A2A65">
        <w:rPr>
          <w:rFonts w:ascii="仿宋" w:eastAsia="仿宋" w:hAnsi="仿宋" w:hint="eastAsia"/>
          <w:color w:val="333333"/>
          <w:sz w:val="32"/>
          <w:szCs w:val="32"/>
        </w:rPr>
        <w:t>办？</w:t>
      </w:r>
    </w:p>
    <w:p w:rsidR="00C079E6" w:rsidRPr="000673BB" w:rsidRDefault="00C079E6" w:rsidP="00C079E6">
      <w:pPr>
        <w:pStyle w:val="a8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0673BB">
        <w:rPr>
          <w:rFonts w:ascii="仿宋" w:eastAsia="仿宋" w:hAnsi="仿宋"/>
          <w:color w:val="333333"/>
          <w:sz w:val="32"/>
          <w:szCs w:val="32"/>
        </w:rPr>
        <w:t>（一）单位申办 用人单位在职职工、离退休（职）人员申领社会保障卡，可由用人单位统一办理；</w:t>
      </w:r>
    </w:p>
    <w:p w:rsidR="00C079E6" w:rsidRPr="000673BB" w:rsidRDefault="00C079E6" w:rsidP="00C079E6">
      <w:pPr>
        <w:pStyle w:val="a8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0673BB">
        <w:rPr>
          <w:rFonts w:ascii="仿宋" w:eastAsia="仿宋" w:hAnsi="仿宋"/>
          <w:color w:val="333333"/>
          <w:sz w:val="32"/>
          <w:szCs w:val="32"/>
        </w:rPr>
        <w:t>（二）个人申办 个人可自主选择合作银行，或到开通社会保障卡服务窗口的</w:t>
      </w:r>
      <w:r>
        <w:rPr>
          <w:rFonts w:ascii="仿宋" w:eastAsia="仿宋" w:hAnsi="仿宋"/>
          <w:color w:val="333333"/>
          <w:sz w:val="32"/>
          <w:szCs w:val="32"/>
        </w:rPr>
        <w:t>人力资源和社会保障服务</w:t>
      </w:r>
      <w:r w:rsidRPr="000673BB">
        <w:rPr>
          <w:rFonts w:ascii="仿宋" w:eastAsia="仿宋" w:hAnsi="仿宋"/>
          <w:color w:val="333333"/>
          <w:sz w:val="32"/>
          <w:szCs w:val="32"/>
        </w:rPr>
        <w:t>网点</w:t>
      </w:r>
      <w:r>
        <w:rPr>
          <w:rFonts w:ascii="仿宋" w:eastAsia="仿宋" w:hAnsi="仿宋"/>
          <w:color w:val="333333"/>
          <w:sz w:val="32"/>
          <w:szCs w:val="32"/>
        </w:rPr>
        <w:t>及联名银行服务网点办理</w:t>
      </w:r>
      <w:r w:rsidRPr="000673BB">
        <w:rPr>
          <w:rFonts w:ascii="仿宋" w:eastAsia="仿宋" w:hAnsi="仿宋"/>
          <w:color w:val="333333"/>
          <w:sz w:val="32"/>
          <w:szCs w:val="32"/>
        </w:rPr>
        <w:t>。</w:t>
      </w:r>
    </w:p>
    <w:p w:rsidR="00C079E6" w:rsidRPr="000673BB" w:rsidRDefault="00C079E6" w:rsidP="00C079E6">
      <w:pPr>
        <w:pStyle w:val="a8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0673BB">
        <w:rPr>
          <w:rFonts w:ascii="仿宋" w:eastAsia="仿宋" w:hAnsi="仿宋"/>
          <w:color w:val="333333"/>
          <w:sz w:val="32"/>
          <w:szCs w:val="32"/>
        </w:rPr>
        <w:t>本人申办需准备材料：二代身份证原件（无二代证人员需提交户口本、护照等证件）及正背面复印件，并在复印件空白处填写联系方式。</w:t>
      </w:r>
    </w:p>
    <w:p w:rsidR="00C079E6" w:rsidRPr="000673BB" w:rsidRDefault="00C079E6" w:rsidP="00C079E6">
      <w:pPr>
        <w:pStyle w:val="a8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0673BB">
        <w:rPr>
          <w:rFonts w:ascii="仿宋" w:eastAsia="仿宋" w:hAnsi="仿宋"/>
          <w:color w:val="333333"/>
          <w:sz w:val="32"/>
          <w:szCs w:val="32"/>
        </w:rPr>
        <w:lastRenderedPageBreak/>
        <w:t>申办社会保障卡60个工作日后，可到申办网点取卡。（其间可到网点查询进度及状态）</w:t>
      </w:r>
    </w:p>
    <w:p w:rsidR="00C079E6" w:rsidRPr="000673BB" w:rsidRDefault="00C079E6" w:rsidP="00C079E6">
      <w:pPr>
        <w:pStyle w:val="a8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0673BB">
        <w:rPr>
          <w:rFonts w:ascii="仿宋" w:eastAsia="仿宋" w:hAnsi="仿宋"/>
          <w:color w:val="333333"/>
          <w:sz w:val="32"/>
          <w:szCs w:val="32"/>
        </w:rPr>
        <w:t>申办人持本人有效身份证明到合作银行办理银行</w:t>
      </w:r>
      <w:proofErr w:type="gramStart"/>
      <w:r w:rsidRPr="000673BB">
        <w:rPr>
          <w:rFonts w:ascii="仿宋" w:eastAsia="仿宋" w:hAnsi="仿宋"/>
          <w:color w:val="333333"/>
          <w:sz w:val="32"/>
          <w:szCs w:val="32"/>
        </w:rPr>
        <w:t>帐户</w:t>
      </w:r>
      <w:proofErr w:type="gramEnd"/>
      <w:r w:rsidRPr="000673BB">
        <w:rPr>
          <w:rFonts w:ascii="仿宋" w:eastAsia="仿宋" w:hAnsi="仿宋"/>
          <w:color w:val="333333"/>
          <w:sz w:val="32"/>
          <w:szCs w:val="32"/>
        </w:rPr>
        <w:t>激活手续，首次就医、购药需到定点医药机构办理社会保障卡功能激活手续。</w:t>
      </w:r>
    </w:p>
    <w:p w:rsidR="00C079E6" w:rsidRPr="000673BB" w:rsidRDefault="00C079E6" w:rsidP="00C079E6">
      <w:pPr>
        <w:pStyle w:val="a8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0673BB">
        <w:rPr>
          <w:rFonts w:ascii="仿宋" w:eastAsia="仿宋" w:hAnsi="仿宋"/>
          <w:color w:val="333333"/>
          <w:sz w:val="32"/>
          <w:szCs w:val="32"/>
        </w:rPr>
        <w:t>社会保障卡一经激活使用，原</w:t>
      </w:r>
      <w:proofErr w:type="gramStart"/>
      <w:r w:rsidRPr="000673BB">
        <w:rPr>
          <w:rFonts w:ascii="仿宋" w:eastAsia="仿宋" w:hAnsi="仿宋"/>
          <w:color w:val="333333"/>
          <w:sz w:val="32"/>
          <w:szCs w:val="32"/>
        </w:rPr>
        <w:t>医</w:t>
      </w:r>
      <w:proofErr w:type="gramEnd"/>
      <w:r w:rsidRPr="000673BB">
        <w:rPr>
          <w:rFonts w:ascii="仿宋" w:eastAsia="仿宋" w:hAnsi="仿宋"/>
          <w:color w:val="333333"/>
          <w:sz w:val="32"/>
          <w:szCs w:val="32"/>
        </w:rPr>
        <w:t>保卡自动废止。</w:t>
      </w:r>
    </w:p>
    <w:p w:rsidR="009C19E7" w:rsidRPr="00A5738B" w:rsidRDefault="00C42F03" w:rsidP="00C079E6">
      <w:pPr>
        <w:rPr>
          <w:rFonts w:ascii="仿宋" w:eastAsia="仿宋" w:hAnsi="仿宋"/>
          <w:color w:val="333333"/>
          <w:sz w:val="32"/>
          <w:szCs w:val="32"/>
        </w:rPr>
      </w:pPr>
      <w:r w:rsidRPr="00A5738B">
        <w:rPr>
          <w:rFonts w:ascii="仿宋" w:eastAsia="仿宋" w:hAnsi="仿宋" w:hint="eastAsia"/>
          <w:color w:val="333333"/>
          <w:sz w:val="32"/>
          <w:szCs w:val="32"/>
        </w:rPr>
        <w:t>三</w:t>
      </w:r>
      <w:r w:rsidR="006B6EA0" w:rsidRPr="00A5738B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94516D" w:rsidRPr="00A5738B">
        <w:rPr>
          <w:rFonts w:ascii="仿宋" w:eastAsia="仿宋" w:hAnsi="仿宋" w:hint="eastAsia"/>
          <w:color w:val="333333"/>
          <w:sz w:val="32"/>
          <w:szCs w:val="32"/>
        </w:rPr>
        <w:t>疑难问题</w:t>
      </w:r>
    </w:p>
    <w:p w:rsidR="00EF6FC6" w:rsidRPr="008158F1" w:rsidRDefault="0094516D" w:rsidP="00D00E2B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1997年参加工作，从事专业工作20年</w:t>
      </w:r>
      <w:r w:rsidR="008E58CE"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，取得中级九年，2011年获得本科学历，想在</w:t>
      </w:r>
      <w:proofErr w:type="gramStart"/>
      <w:r w:rsidR="008E58CE"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今年评副高级</w:t>
      </w:r>
      <w:proofErr w:type="gramEnd"/>
      <w:r w:rsidR="008E58CE"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职称，条件是否满足？</w:t>
      </w:r>
    </w:p>
    <w:p w:rsidR="0094516D" w:rsidRPr="008158F1" w:rsidRDefault="008E58CE" w:rsidP="00D00E2B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根据《2017年吉林省职称评聘工作安排意见》的通知，副高级职称：具有博士学历，从事</w:t>
      </w:r>
      <w:r w:rsidR="008169BD"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</w:t>
      </w:r>
      <w:r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系列专业技术工作满2年，受聘中级岗位；具有硕士研究生学历，从事专业技术工作满7年，取得本系列专业中级职称满5年，且符合中级岗位聘任年限要求；具有本科学历，从事专业技术工作满10年，取得本系列专业中级职称满5年，且符合中级岗位聘任年限要求；具有大专学历，从事专业技术工作满20年，取得</w:t>
      </w:r>
      <w:r w:rsidR="008169BD"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</w:t>
      </w:r>
      <w:r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系列专业中级职称满5年，且符合中级岗位聘任年限要求；具有中专学历，从事专业技术工作满25年，取得本</w:t>
      </w:r>
      <w:r w:rsidR="004B0736"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系列专业中级职称满5年，且符合中级岗位聘任年限要求，聘期市直工作2年，县级1年，领取资格证5年。</w:t>
      </w:r>
    </w:p>
    <w:p w:rsidR="0094516D" w:rsidRPr="008158F1" w:rsidRDefault="0094516D" w:rsidP="00D00E2B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9C19E7" w:rsidRPr="008158F1" w:rsidRDefault="00C42F03" w:rsidP="00640224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四</w:t>
      </w:r>
      <w:r w:rsidR="00E728FB"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、来电情况统计图表</w:t>
      </w:r>
    </w:p>
    <w:p w:rsidR="002F19FB" w:rsidRPr="008158F1" w:rsidRDefault="002F19FB" w:rsidP="00D00E2B">
      <w:pPr>
        <w:ind w:firstLine="20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E728FB" w:rsidRDefault="006F7773" w:rsidP="00E728FB">
      <w:r>
        <w:rPr>
          <w:noProof/>
        </w:rPr>
        <w:drawing>
          <wp:inline distT="0" distB="0" distL="0" distR="0" wp14:anchorId="2271AF72" wp14:editId="7E645B96">
            <wp:extent cx="5151120" cy="4126230"/>
            <wp:effectExtent l="0" t="0" r="11430" b="2667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28FB" w:rsidRDefault="00E728FB" w:rsidP="00E728FB">
      <w:pPr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</w:p>
    <w:p w:rsidR="009C19E7" w:rsidRDefault="009C19E7" w:rsidP="009C19E7">
      <w:pPr>
        <w:rPr>
          <w:rFonts w:ascii="仿宋" w:eastAsia="仿宋" w:hAnsi="仿宋"/>
          <w:sz w:val="32"/>
          <w:szCs w:val="32"/>
        </w:rPr>
      </w:pPr>
    </w:p>
    <w:p w:rsidR="00490FE9" w:rsidRDefault="00490FE9" w:rsidP="00C4754A">
      <w:pPr>
        <w:ind w:firstLineChars="100" w:firstLine="321"/>
        <w:rPr>
          <w:rFonts w:ascii="仿宋" w:eastAsia="仿宋" w:hAnsi="仿宋"/>
          <w:b/>
          <w:sz w:val="32"/>
          <w:szCs w:val="32"/>
        </w:rPr>
      </w:pPr>
    </w:p>
    <w:p w:rsidR="00490FE9" w:rsidRDefault="00490FE9" w:rsidP="00C4754A">
      <w:pPr>
        <w:ind w:firstLineChars="100" w:firstLine="321"/>
        <w:rPr>
          <w:rFonts w:ascii="仿宋" w:eastAsia="仿宋" w:hAnsi="仿宋"/>
          <w:b/>
          <w:sz w:val="32"/>
          <w:szCs w:val="32"/>
        </w:rPr>
      </w:pPr>
    </w:p>
    <w:p w:rsidR="00C4754A" w:rsidRPr="00D1049A" w:rsidRDefault="0024410B" w:rsidP="00640224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五、</w:t>
      </w:r>
      <w:r w:rsidR="00C4754A" w:rsidRPr="00D1049A">
        <w:rPr>
          <w:rFonts w:ascii="仿宋" w:eastAsia="仿宋" w:hAnsi="仿宋" w:hint="eastAsia"/>
          <w:b/>
          <w:sz w:val="32"/>
          <w:szCs w:val="32"/>
        </w:rPr>
        <w:t>白山市12333服务热线电话服务总量统计表（</w:t>
      </w:r>
      <w:r w:rsidR="00C4754A">
        <w:rPr>
          <w:rFonts w:ascii="仿宋" w:eastAsia="仿宋" w:hAnsi="仿宋" w:hint="eastAsia"/>
          <w:b/>
          <w:sz w:val="32"/>
          <w:szCs w:val="32"/>
        </w:rPr>
        <w:t>7.21-8.21</w:t>
      </w:r>
      <w:r w:rsidR="00C4754A" w:rsidRPr="00D1049A">
        <w:rPr>
          <w:rFonts w:ascii="仿宋" w:eastAsia="仿宋" w:hAnsi="仿宋" w:hint="eastAsia"/>
          <w:b/>
          <w:sz w:val="32"/>
          <w:szCs w:val="32"/>
        </w:rPr>
        <w:t>）</w:t>
      </w:r>
    </w:p>
    <w:tbl>
      <w:tblPr>
        <w:tblStyle w:val="a6"/>
        <w:tblW w:w="9180" w:type="dxa"/>
        <w:tblInd w:w="-252" w:type="dxa"/>
        <w:tblLook w:val="01E0" w:firstRow="1" w:lastRow="1" w:firstColumn="1" w:lastColumn="1" w:noHBand="0" w:noVBand="0"/>
      </w:tblPr>
      <w:tblGrid>
        <w:gridCol w:w="786"/>
        <w:gridCol w:w="2268"/>
        <w:gridCol w:w="1266"/>
        <w:gridCol w:w="3240"/>
        <w:gridCol w:w="1620"/>
      </w:tblGrid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C4754A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业务目录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总数（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业务名称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C4754A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养老保险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142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缴纳养老保险金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养老保险关系转移接续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Pr="00AB08F8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退休生存认证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Pr="00AB08F8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养老保险个人账户余额查询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养老保险个人编码查询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60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社会平均工资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退休待遇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社会保障卡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社会保障卡发放时间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62</w:t>
            </w:r>
          </w:p>
        </w:tc>
      </w:tr>
      <w:tr w:rsidR="00C4754A" w:rsidTr="00440B85">
        <w:trPr>
          <w:trHeight w:val="374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社会保障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卡如何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申办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社会保障卡密码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社会保障卡激活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医疗保险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53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医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保缴费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异地就医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医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保卡挂失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医保关系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转移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医疗保险个人账户查询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Pr="00F837E8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医疗保险报销比例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工伤保险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工伤待遇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生育保险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生育保险待遇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失业保险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领取失业金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劳动争议处理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劳动争议仲裁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人力资源市场与就业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39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档案托管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领取社会养老保险补贴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Pr="000D1EE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找工作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人事问题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事业单位考试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事业单位工作关系调转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Pr="00844164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劳动关系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劳动合同解聘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行政审批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退休审批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职业培训与职业资格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职业技能鉴定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其它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查询电话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接听后断线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自动语音量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954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自动语音量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954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放弃量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放弃量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服务量总计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1393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C4754A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C4754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1393</w:t>
            </w:r>
          </w:p>
        </w:tc>
      </w:tr>
    </w:tbl>
    <w:p w:rsidR="00C4754A" w:rsidRDefault="00C4754A" w:rsidP="00C4754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754A" w:rsidRDefault="00532A21" w:rsidP="00532A21">
      <w:pPr>
        <w:tabs>
          <w:tab w:val="left" w:pos="7404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F528CE" w:rsidRDefault="00F528CE" w:rsidP="00C4754A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C4754A" w:rsidRDefault="0024410B" w:rsidP="00C4754A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六、</w:t>
      </w:r>
      <w:r w:rsidR="00C4754A">
        <w:rPr>
          <w:rFonts w:ascii="仿宋" w:eastAsia="仿宋" w:hAnsi="仿宋" w:hint="eastAsia"/>
          <w:b/>
          <w:sz w:val="32"/>
          <w:szCs w:val="32"/>
        </w:rPr>
        <w:t>12333综合服务网网站咨询统计（7.21--8.21）</w:t>
      </w:r>
    </w:p>
    <w:p w:rsidR="00C4754A" w:rsidRDefault="00C4754A" w:rsidP="00C4754A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0" w:type="auto"/>
        <w:tblInd w:w="-176" w:type="dxa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3372"/>
        <w:gridCol w:w="1214"/>
      </w:tblGrid>
      <w:tr w:rsidR="00C4754A" w:rsidTr="00EF381F">
        <w:trPr>
          <w:trHeight w:val="7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业务目录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总数（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业务名称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C4754A" w:rsidTr="00EF381F">
        <w:trPr>
          <w:trHeight w:val="7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专业技术人员管理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职称评定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</w:tr>
      <w:tr w:rsidR="00C4754A" w:rsidTr="00EF381F">
        <w:trPr>
          <w:trHeight w:val="7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医疗保险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保报销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C4754A" w:rsidTr="00EF381F">
        <w:trPr>
          <w:trHeight w:val="7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人力资源市场与就业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毕业生档案邮寄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4754A" w:rsidTr="00EF381F">
        <w:trPr>
          <w:trHeight w:val="7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养老保险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丧葬补助金、养老保险个人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帐户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、工龄认定、退休生存认证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C4754A" w:rsidTr="00EF381F">
        <w:trPr>
          <w:trHeight w:val="7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共计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4754A" w:rsidRDefault="00C4754A" w:rsidP="00C4754A">
      <w:pPr>
        <w:spacing w:line="220" w:lineRule="atLeast"/>
      </w:pPr>
    </w:p>
    <w:p w:rsidR="00C4754A" w:rsidRDefault="00C4754A" w:rsidP="00C4754A">
      <w:pPr>
        <w:jc w:val="center"/>
        <w:rPr>
          <w:rFonts w:ascii="仿宋" w:eastAsia="仿宋" w:hAnsi="仿宋"/>
          <w:sz w:val="32"/>
          <w:szCs w:val="32"/>
        </w:rPr>
      </w:pPr>
    </w:p>
    <w:p w:rsidR="00C4754A" w:rsidRDefault="00C4754A" w:rsidP="00C4754A"/>
    <w:p w:rsidR="009C19E7" w:rsidRDefault="009C19E7" w:rsidP="00342DBF">
      <w:pPr>
        <w:jc w:val="center"/>
        <w:rPr>
          <w:rFonts w:ascii="仿宋" w:eastAsia="仿宋" w:hAnsi="仿宋"/>
          <w:sz w:val="32"/>
          <w:szCs w:val="32"/>
        </w:rPr>
      </w:pPr>
    </w:p>
    <w:p w:rsidR="00ED39A2" w:rsidRDefault="00ED39A2" w:rsidP="00342DBF">
      <w:pPr>
        <w:jc w:val="center"/>
        <w:rPr>
          <w:rFonts w:ascii="仿宋" w:eastAsia="仿宋" w:hAnsi="仿宋"/>
          <w:sz w:val="32"/>
          <w:szCs w:val="32"/>
        </w:rPr>
      </w:pPr>
    </w:p>
    <w:p w:rsidR="00ED39A2" w:rsidRDefault="00ED39A2" w:rsidP="00342DBF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17280" w:type="dxa"/>
        <w:tblInd w:w="93" w:type="dxa"/>
        <w:tblLook w:val="04A0" w:firstRow="1" w:lastRow="0" w:firstColumn="1" w:lastColumn="0" w:noHBand="0" w:noVBand="1"/>
      </w:tblPr>
      <w:tblGrid>
        <w:gridCol w:w="17280"/>
      </w:tblGrid>
      <w:tr w:rsidR="00ED39A2" w:rsidRPr="00ED39A2" w:rsidTr="00ED39A2">
        <w:trPr>
          <w:trHeight w:val="624"/>
        </w:trPr>
        <w:tc>
          <w:tcPr>
            <w:tcW w:w="17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9A2" w:rsidRPr="00ED39A2" w:rsidRDefault="00ED39A2" w:rsidP="00ED3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39A2" w:rsidRPr="00ED39A2" w:rsidTr="00ED39A2">
        <w:trPr>
          <w:trHeight w:val="624"/>
        </w:trPr>
        <w:tc>
          <w:tcPr>
            <w:tcW w:w="17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9A2" w:rsidRPr="00ED39A2" w:rsidRDefault="00ED39A2" w:rsidP="00ED3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D39A2" w:rsidRDefault="00ED39A2" w:rsidP="00D854C3">
      <w:pPr>
        <w:rPr>
          <w:rFonts w:ascii="仿宋" w:eastAsia="仿宋" w:hAnsi="仿宋"/>
          <w:sz w:val="32"/>
          <w:szCs w:val="32"/>
        </w:rPr>
      </w:pPr>
    </w:p>
    <w:sectPr w:rsidR="00ED39A2" w:rsidSect="00FF1A5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9B" w:rsidRDefault="00F0289B" w:rsidP="00E728FB">
      <w:r>
        <w:separator/>
      </w:r>
    </w:p>
  </w:endnote>
  <w:endnote w:type="continuationSeparator" w:id="0">
    <w:p w:rsidR="00F0289B" w:rsidRDefault="00F0289B" w:rsidP="00E7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497976"/>
      <w:docPartObj>
        <w:docPartGallery w:val="Page Numbers (Bottom of Page)"/>
        <w:docPartUnique/>
      </w:docPartObj>
    </w:sdtPr>
    <w:sdtEndPr/>
    <w:sdtContent>
      <w:p w:rsidR="00682448" w:rsidRDefault="006824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898" w:rsidRPr="00B40898">
          <w:rPr>
            <w:noProof/>
            <w:lang w:val="zh-CN"/>
          </w:rPr>
          <w:t>1</w:t>
        </w:r>
        <w:r>
          <w:fldChar w:fldCharType="end"/>
        </w:r>
      </w:p>
    </w:sdtContent>
  </w:sdt>
  <w:p w:rsidR="00EF381F" w:rsidRDefault="00EF38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9B" w:rsidRDefault="00F0289B" w:rsidP="00E728FB">
      <w:r>
        <w:separator/>
      </w:r>
    </w:p>
  </w:footnote>
  <w:footnote w:type="continuationSeparator" w:id="0">
    <w:p w:rsidR="00F0289B" w:rsidRDefault="00F0289B" w:rsidP="00E7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24E"/>
    <w:multiLevelType w:val="hybridMultilevel"/>
    <w:tmpl w:val="BC6642C0"/>
    <w:lvl w:ilvl="0" w:tplc="107000B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7690037"/>
    <w:multiLevelType w:val="hybridMultilevel"/>
    <w:tmpl w:val="BC4EA0D8"/>
    <w:lvl w:ilvl="0" w:tplc="FE409E8C">
      <w:start w:val="1"/>
      <w:numFmt w:val="decimal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BA"/>
    <w:rsid w:val="000341AB"/>
    <w:rsid w:val="00044713"/>
    <w:rsid w:val="000537B2"/>
    <w:rsid w:val="00067D0F"/>
    <w:rsid w:val="00095751"/>
    <w:rsid w:val="000A47E6"/>
    <w:rsid w:val="000E5376"/>
    <w:rsid w:val="00137113"/>
    <w:rsid w:val="001523D8"/>
    <w:rsid w:val="001709C2"/>
    <w:rsid w:val="00195B13"/>
    <w:rsid w:val="001B74AF"/>
    <w:rsid w:val="001E0363"/>
    <w:rsid w:val="001F5473"/>
    <w:rsid w:val="0024410B"/>
    <w:rsid w:val="002636C6"/>
    <w:rsid w:val="002737E2"/>
    <w:rsid w:val="00276FC7"/>
    <w:rsid w:val="002C0F21"/>
    <w:rsid w:val="002F19FB"/>
    <w:rsid w:val="00342DBF"/>
    <w:rsid w:val="0037201B"/>
    <w:rsid w:val="00386E99"/>
    <w:rsid w:val="003B30C2"/>
    <w:rsid w:val="003C4648"/>
    <w:rsid w:val="00403815"/>
    <w:rsid w:val="00412EE2"/>
    <w:rsid w:val="00440B85"/>
    <w:rsid w:val="00461A6C"/>
    <w:rsid w:val="00482661"/>
    <w:rsid w:val="00490FE9"/>
    <w:rsid w:val="00491F05"/>
    <w:rsid w:val="004B0736"/>
    <w:rsid w:val="00517F7C"/>
    <w:rsid w:val="00532A21"/>
    <w:rsid w:val="005B2BBA"/>
    <w:rsid w:val="005C265D"/>
    <w:rsid w:val="006341BF"/>
    <w:rsid w:val="00640224"/>
    <w:rsid w:val="00651369"/>
    <w:rsid w:val="0066309F"/>
    <w:rsid w:val="00682448"/>
    <w:rsid w:val="0068291D"/>
    <w:rsid w:val="006B6EA0"/>
    <w:rsid w:val="006F7773"/>
    <w:rsid w:val="00713BCF"/>
    <w:rsid w:val="00722A9C"/>
    <w:rsid w:val="007531EF"/>
    <w:rsid w:val="007A2A65"/>
    <w:rsid w:val="007A2DBB"/>
    <w:rsid w:val="007A7756"/>
    <w:rsid w:val="007F0FFB"/>
    <w:rsid w:val="008158F1"/>
    <w:rsid w:val="008169BD"/>
    <w:rsid w:val="00842658"/>
    <w:rsid w:val="00872D33"/>
    <w:rsid w:val="00892733"/>
    <w:rsid w:val="00897D18"/>
    <w:rsid w:val="008D20A0"/>
    <w:rsid w:val="008E1D21"/>
    <w:rsid w:val="008E58CE"/>
    <w:rsid w:val="008F38E9"/>
    <w:rsid w:val="0094516D"/>
    <w:rsid w:val="00950ACD"/>
    <w:rsid w:val="009526BA"/>
    <w:rsid w:val="009A752A"/>
    <w:rsid w:val="009C1979"/>
    <w:rsid w:val="009C19E7"/>
    <w:rsid w:val="009E36A1"/>
    <w:rsid w:val="00A5738B"/>
    <w:rsid w:val="00A75242"/>
    <w:rsid w:val="00A84064"/>
    <w:rsid w:val="00A96174"/>
    <w:rsid w:val="00AB22EB"/>
    <w:rsid w:val="00AC360B"/>
    <w:rsid w:val="00AC416D"/>
    <w:rsid w:val="00B323E2"/>
    <w:rsid w:val="00B3643D"/>
    <w:rsid w:val="00B40898"/>
    <w:rsid w:val="00B43D5E"/>
    <w:rsid w:val="00B71B95"/>
    <w:rsid w:val="00BF6E40"/>
    <w:rsid w:val="00C079E6"/>
    <w:rsid w:val="00C14663"/>
    <w:rsid w:val="00C42F03"/>
    <w:rsid w:val="00C4754A"/>
    <w:rsid w:val="00CB15F3"/>
    <w:rsid w:val="00CD0944"/>
    <w:rsid w:val="00CE1EC3"/>
    <w:rsid w:val="00CE2272"/>
    <w:rsid w:val="00CE4504"/>
    <w:rsid w:val="00CF3CB5"/>
    <w:rsid w:val="00D00E2B"/>
    <w:rsid w:val="00D25AD5"/>
    <w:rsid w:val="00D50B82"/>
    <w:rsid w:val="00D7718F"/>
    <w:rsid w:val="00D77B6F"/>
    <w:rsid w:val="00D854C3"/>
    <w:rsid w:val="00D905DA"/>
    <w:rsid w:val="00DB0EE5"/>
    <w:rsid w:val="00E020FC"/>
    <w:rsid w:val="00E26BE7"/>
    <w:rsid w:val="00E30CED"/>
    <w:rsid w:val="00E728FB"/>
    <w:rsid w:val="00EA1BCC"/>
    <w:rsid w:val="00ED39A2"/>
    <w:rsid w:val="00ED6028"/>
    <w:rsid w:val="00EE7590"/>
    <w:rsid w:val="00EF381F"/>
    <w:rsid w:val="00EF6FC6"/>
    <w:rsid w:val="00F0289B"/>
    <w:rsid w:val="00F27B86"/>
    <w:rsid w:val="00F528CE"/>
    <w:rsid w:val="00FA691A"/>
    <w:rsid w:val="00FB7180"/>
    <w:rsid w:val="00FC4739"/>
    <w:rsid w:val="00FC7C0E"/>
    <w:rsid w:val="00FD6AEB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28FB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8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28FB"/>
    <w:rPr>
      <w:rFonts w:eastAsia="宋体" w:cs="宋体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728FB"/>
    <w:pPr>
      <w:ind w:firstLineChars="200" w:firstLine="420"/>
    </w:pPr>
  </w:style>
  <w:style w:type="table" w:styleId="a6">
    <w:name w:val="Table Grid"/>
    <w:basedOn w:val="a1"/>
    <w:rsid w:val="00E728F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728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28FB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A2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28FB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8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28FB"/>
    <w:rPr>
      <w:rFonts w:eastAsia="宋体" w:cs="宋体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728FB"/>
    <w:pPr>
      <w:ind w:firstLineChars="200" w:firstLine="420"/>
    </w:pPr>
  </w:style>
  <w:style w:type="table" w:styleId="a6">
    <w:name w:val="Table Grid"/>
    <w:basedOn w:val="a1"/>
    <w:rsid w:val="00E728F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728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28FB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A2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&#26032;&#24314;%20Microsoft%20Excel%20&#24037;&#20316;&#34920;%20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Sheet1!$A$2:$A$34</c:f>
              <c:strCache>
                <c:ptCount val="33"/>
                <c:pt idx="0">
                  <c:v>缴纳养老保险金</c:v>
                </c:pt>
                <c:pt idx="1">
                  <c:v>养老保险关系转移接续</c:v>
                </c:pt>
                <c:pt idx="2">
                  <c:v>退休生存认证</c:v>
                </c:pt>
                <c:pt idx="3">
                  <c:v>养老保险个人账户余额查询</c:v>
                </c:pt>
                <c:pt idx="4">
                  <c:v>养老保险个人编码查询</c:v>
                </c:pt>
                <c:pt idx="5">
                  <c:v>社会平均工资</c:v>
                </c:pt>
                <c:pt idx="6">
                  <c:v>退休待遇</c:v>
                </c:pt>
                <c:pt idx="7">
                  <c:v>社会保障卡发放时间</c:v>
                </c:pt>
                <c:pt idx="8">
                  <c:v>社会保障卡如何申办</c:v>
                </c:pt>
                <c:pt idx="9">
                  <c:v>社会保障卡密码</c:v>
                </c:pt>
                <c:pt idx="10">
                  <c:v>社会保障卡激活</c:v>
                </c:pt>
                <c:pt idx="11">
                  <c:v>医保缴费</c:v>
                </c:pt>
                <c:pt idx="12">
                  <c:v>异地就医</c:v>
                </c:pt>
                <c:pt idx="13">
                  <c:v>医保卡挂失</c:v>
                </c:pt>
                <c:pt idx="14">
                  <c:v>医保关系转移</c:v>
                </c:pt>
                <c:pt idx="15">
                  <c:v>医疗保险个人账户查询</c:v>
                </c:pt>
                <c:pt idx="16">
                  <c:v>医疗保险报销比例</c:v>
                </c:pt>
                <c:pt idx="17">
                  <c:v>工伤待遇</c:v>
                </c:pt>
                <c:pt idx="18">
                  <c:v>生育保险待遇</c:v>
                </c:pt>
                <c:pt idx="19">
                  <c:v>领取失业金</c:v>
                </c:pt>
                <c:pt idx="20">
                  <c:v>劳动争议仲裁</c:v>
                </c:pt>
                <c:pt idx="21">
                  <c:v>档案托管</c:v>
                </c:pt>
                <c:pt idx="22">
                  <c:v>领取社会养老保险补贴</c:v>
                </c:pt>
                <c:pt idx="23">
                  <c:v>找工作</c:v>
                </c:pt>
                <c:pt idx="24">
                  <c:v>事业单位考试</c:v>
                </c:pt>
                <c:pt idx="25">
                  <c:v>事业单位工作关系调转</c:v>
                </c:pt>
                <c:pt idx="26">
                  <c:v>劳动合同解聘</c:v>
                </c:pt>
                <c:pt idx="27">
                  <c:v>退休审批</c:v>
                </c:pt>
                <c:pt idx="28">
                  <c:v>职业技能鉴定</c:v>
                </c:pt>
                <c:pt idx="29">
                  <c:v>查询电话</c:v>
                </c:pt>
                <c:pt idx="30">
                  <c:v>接听后断线</c:v>
                </c:pt>
                <c:pt idx="31">
                  <c:v>自动语音量</c:v>
                </c:pt>
                <c:pt idx="32">
                  <c:v>放弃量</c:v>
                </c:pt>
              </c:strCache>
            </c:strRef>
          </c:cat>
          <c:val>
            <c:numRef>
              <c:f>Sheet1!$B$2:$B$34</c:f>
              <c:numCache>
                <c:formatCode>General</c:formatCode>
                <c:ptCount val="33"/>
                <c:pt idx="0">
                  <c:v>17</c:v>
                </c:pt>
                <c:pt idx="1">
                  <c:v>12</c:v>
                </c:pt>
                <c:pt idx="2">
                  <c:v>19</c:v>
                </c:pt>
                <c:pt idx="3">
                  <c:v>20</c:v>
                </c:pt>
                <c:pt idx="4">
                  <c:v>60</c:v>
                </c:pt>
                <c:pt idx="5">
                  <c:v>8</c:v>
                </c:pt>
                <c:pt idx="6">
                  <c:v>6</c:v>
                </c:pt>
                <c:pt idx="7">
                  <c:v>62</c:v>
                </c:pt>
                <c:pt idx="8">
                  <c:v>2</c:v>
                </c:pt>
                <c:pt idx="9">
                  <c:v>10</c:v>
                </c:pt>
                <c:pt idx="10">
                  <c:v>7</c:v>
                </c:pt>
                <c:pt idx="11">
                  <c:v>4</c:v>
                </c:pt>
                <c:pt idx="12">
                  <c:v>24</c:v>
                </c:pt>
                <c:pt idx="13">
                  <c:v>1</c:v>
                </c:pt>
                <c:pt idx="14">
                  <c:v>12</c:v>
                </c:pt>
                <c:pt idx="15">
                  <c:v>9</c:v>
                </c:pt>
                <c:pt idx="16">
                  <c:v>3</c:v>
                </c:pt>
                <c:pt idx="17">
                  <c:v>5</c:v>
                </c:pt>
                <c:pt idx="18">
                  <c:v>1</c:v>
                </c:pt>
                <c:pt idx="19">
                  <c:v>1</c:v>
                </c:pt>
                <c:pt idx="20">
                  <c:v>7</c:v>
                </c:pt>
                <c:pt idx="21">
                  <c:v>16</c:v>
                </c:pt>
                <c:pt idx="22">
                  <c:v>20</c:v>
                </c:pt>
                <c:pt idx="23">
                  <c:v>3</c:v>
                </c:pt>
                <c:pt idx="24">
                  <c:v>13</c:v>
                </c:pt>
                <c:pt idx="25">
                  <c:v>5</c:v>
                </c:pt>
                <c:pt idx="26">
                  <c:v>1</c:v>
                </c:pt>
                <c:pt idx="27">
                  <c:v>30</c:v>
                </c:pt>
                <c:pt idx="28">
                  <c:v>1</c:v>
                </c:pt>
                <c:pt idx="29">
                  <c:v>24</c:v>
                </c:pt>
                <c:pt idx="30">
                  <c:v>16</c:v>
                </c:pt>
                <c:pt idx="31">
                  <c:v>954</c:v>
                </c:pt>
                <c:pt idx="3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558748906386701"/>
          <c:y val="6.4796587926509192E-2"/>
          <c:w val="0.30496806649168856"/>
          <c:h val="0.93520341207349078"/>
        </c:manualLayout>
      </c:layout>
      <c:overlay val="0"/>
      <c:txPr>
        <a:bodyPr/>
        <a:lstStyle/>
        <a:p>
          <a:pPr>
            <a:defRPr sz="800"/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6D71-7B3A-41B2-8163-E12FB4CF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6</Pages>
  <Words>329</Words>
  <Characters>1877</Characters>
  <Application>Microsoft Office Word</Application>
  <DocSecurity>0</DocSecurity>
  <Lines>15</Lines>
  <Paragraphs>4</Paragraphs>
  <ScaleCrop>false</ScaleCrop>
  <Company>Lenovo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160</cp:revision>
  <cp:lastPrinted>2017-09-07T05:30:00Z</cp:lastPrinted>
  <dcterms:created xsi:type="dcterms:W3CDTF">2017-07-06T01:10:00Z</dcterms:created>
  <dcterms:modified xsi:type="dcterms:W3CDTF">2017-09-07T07:44:00Z</dcterms:modified>
</cp:coreProperties>
</file>